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85" w:rsidRPr="00FC2085" w:rsidRDefault="00FC2085" w:rsidP="00FC2085">
      <w:pPr>
        <w:pStyle w:val="Titre1"/>
        <w:rPr>
          <w:lang w:val="fr-FR"/>
        </w:rPr>
      </w:pPr>
      <w:r>
        <w:rPr>
          <w:lang w:val="fr-FR"/>
        </w:rPr>
        <w:t xml:space="preserve">Sommaire </w:t>
      </w:r>
      <w:bookmarkStart w:id="0" w:name="_GoBack"/>
      <w:bookmarkEnd w:id="0"/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Introduction, présentation de l’étude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Principe des divers types d’onduleurs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Semi-conducteurs utilisables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Imperfections de la source et de la charge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Filtres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Les principales applications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Conséquences sur l’étude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Présentation des principales structures d’onduleurs de tension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La modulation de largeur d’impulsions (MLI) dans les onduleurs de tension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Les commutations dans les onduleurs de tension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Influence et correction des imperfections de la source et de la charge dans les onduleurs de tension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Les onduleurs-commutateurs de courant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Les onduleurs à résonance</w:t>
      </w:r>
    </w:p>
    <w:p w:rsidR="00FC2085" w:rsidRPr="00FC2085" w:rsidRDefault="00FC2085" w:rsidP="00FC2085">
      <w:pPr>
        <w:rPr>
          <w:lang w:val="fr-FR"/>
        </w:rPr>
      </w:pPr>
      <w:r w:rsidRPr="00FC2085">
        <w:rPr>
          <w:lang w:val="fr-FR"/>
        </w:rPr>
        <w:t>- Appendices, Bibliographie, Symboles utilisés, Index alphabétique</w:t>
      </w:r>
    </w:p>
    <w:p w:rsidR="00C6162A" w:rsidRPr="00FC2085" w:rsidRDefault="00C6162A">
      <w:pPr>
        <w:rPr>
          <w:lang w:val="fr-FR"/>
        </w:rPr>
      </w:pPr>
    </w:p>
    <w:sectPr w:rsidR="00C6162A" w:rsidRPr="00FC20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85"/>
    <w:rsid w:val="00C6162A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B3A57-8E20-42EE-A16A-F22F0AD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85"/>
    <w:pPr>
      <w:spacing w:after="200" w:line="276" w:lineRule="auto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C2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0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2025-09-10T09:28:00Z</dcterms:created>
  <dcterms:modified xsi:type="dcterms:W3CDTF">2025-09-10T09:31:00Z</dcterms:modified>
</cp:coreProperties>
</file>