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D7" w:rsidRPr="001B64D7" w:rsidRDefault="001B64D7" w:rsidP="001B64D7">
      <w:pPr>
        <w:pStyle w:val="Titre1"/>
        <w:rPr>
          <w:lang w:val="fr-FR"/>
        </w:rPr>
      </w:pPr>
      <w:r w:rsidRPr="001B64D7">
        <w:rPr>
          <w:lang w:val="fr-FR"/>
        </w:rPr>
        <w:t xml:space="preserve">Sommaire </w:t>
      </w:r>
      <w:bookmarkStart w:id="0" w:name="_GoBack"/>
      <w:bookmarkEnd w:id="0"/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1. Alimentations à découpage à commutation commandée</w:t>
      </w:r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2. Alimentations à découpage à commutation naturelle (convertisseurs à résonance)</w:t>
      </w:r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3. Les composants à semi-conducteurs et leur environnement dans les alimentations à découpage</w:t>
      </w:r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4. Les composants passifs dans les alimentations à découpage</w:t>
      </w:r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5. Modélisation des alimentations à découpage</w:t>
      </w:r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6. Calcul du fonctionnement statique de l’alimentation à résonance série</w:t>
      </w:r>
    </w:p>
    <w:p w:rsidR="001B64D7" w:rsidRPr="001B64D7" w:rsidRDefault="001B64D7" w:rsidP="001B64D7">
      <w:pPr>
        <w:rPr>
          <w:lang w:val="fr-FR"/>
        </w:rPr>
      </w:pPr>
      <w:r w:rsidRPr="001B64D7">
        <w:rPr>
          <w:lang w:val="fr-FR"/>
        </w:rPr>
        <w:t>7. Fonctions de transfert des principaux hacheurs</w:t>
      </w:r>
    </w:p>
    <w:p w:rsidR="00C6162A" w:rsidRPr="001B64D7" w:rsidRDefault="00C6162A">
      <w:pPr>
        <w:rPr>
          <w:lang w:val="fr-FR"/>
        </w:rPr>
      </w:pPr>
    </w:p>
    <w:sectPr w:rsidR="00C6162A" w:rsidRPr="001B64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D7"/>
    <w:rsid w:val="001B64D7"/>
    <w:rsid w:val="00C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0FA3-6496-4421-988D-D88EFA9A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D7"/>
    <w:pPr>
      <w:spacing w:after="200" w:line="276" w:lineRule="auto"/>
    </w:pPr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1B6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4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2025-09-10T14:16:00Z</dcterms:created>
  <dcterms:modified xsi:type="dcterms:W3CDTF">2025-09-10T14:17:00Z</dcterms:modified>
</cp:coreProperties>
</file>