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sciences physiques.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 Boutigny, J/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2711741079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lumière cohérente/ effet photoélectrique/ </w:t>
            </w:r>
          </w:p>
        </w:tc>
      </w:tr>
    </w:tbl>
    <w:p>
      <w:pPr>
        <w:pStyle w:val="Heading3"/>
      </w:pPr>
      <w:r>
        <w:t>Résumé :</w:t>
      </w:r>
    </w:p>
    <w:p>
      <w:r>
        <w:t>Cet ouvrage présente les principaux phénomènes de l’optique ondulatoire et corpusculaire à un niveau adapté aux classes préparatoires scientifiques et au premier cycle universitaire. Le cours commence par l’étude des interférences lumineuses, en distinguant la lumière cohérente et partiellement cohérente, puis développe les interférences obtenues avec les lames minces et l’interféromètre de Michelson.</w:t>
        <w:br/>
        <w:br/>
        <w:br/>
        <w:br/>
        <w:t>L’ouvrage étudie ensuite la diffraction de la lumière, les réseaux optiques et leur utilisation pour l’analyse spectrale et la mesure des longueurs d’onde. Une partie est consacrée à la diffraction des rayons X par les cristaux, notamment à la loi de Bragg et à l’analyse des structures cristallines.</w:t>
        <w:br/>
        <w:br/>
        <w:br/>
        <w:br/>
        <w:t>Enfin, le livre aborde l’émission photoélectronique et les ondes de matière, introduisant ainsi la dualité onde-corpuscule et la relation de Louis de Broglie.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