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Télécontrôle et automatisation du fond dans les houillères européennes. F2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Bihl, 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efficacité opérationnelle/ impact environnemental/ </w:t>
            </w:r>
          </w:p>
        </w:tc>
      </w:tr>
    </w:tbl>
    <w:p>
      <w:pPr>
        <w:pStyle w:val="Heading3"/>
      </w:pPr>
      <w:r>
        <w:t>Résumé :</w:t>
      </w:r>
    </w:p>
    <w:p>
      <w:r>
        <w:t>Cet ouvrage met également en lumière les bénéfices de l’automatisation pour réduire les coûts d’exploitation, améliorer la réactivité face aux situations d’urgence et minimiser l’impact environnemental des activités minières. En somme, ce fascicule constitue une ressource technique précieuse pour les professionnels du secteur, contribuant à l’avancement des pratiques automatisées dans les houillères européennes.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