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d'electrotechnique generale.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Suchet, Charles/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École nationale supérieure des postes et télécommunications(N°:None)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couple électromagnétique/ </w:t>
            </w:r>
          </w:p>
        </w:tc>
      </w:tr>
    </w:tbl>
    <w:p>
      <w:pPr>
        <w:pStyle w:val="Heading3"/>
      </w:pPr>
      <w:r>
        <w:t>Résumé :</w:t>
      </w:r>
    </w:p>
    <w:p>
      <w:r>
        <w:t>Ce deuxième tome de Cours d’électrotechnique générale constitue une étude approfondie des principales machines électriques et des phénomènes liés aux courants alternatifs.</w:t>
        <w:br/>
        <w:br/>
        <w:br/>
        <w:br/>
        <w:t>La première partie est consacrée aux machines à courant continu. Elle étudie leur constitution, leur fonctionnement en génératrice et en moteur, leurs caractéristiques électriques et mécaniques, ainsi que le démarrage, le réglage de vitesse, le freinage, les pertes et le rendement.</w:t>
        <w:br/>
        <w:br/>
        <w:br/>
        <w:br/>
        <w:t>La deuxième partie développe la théorie des courants alternatifs, depuis les grandeurs sinusoïdales et leur représentation vectorielle jusqu'à l'étude des circuits monophasés et triphasés. Une place importante est accordée à l'impédance, aux puissances active, réactive et apparente, au facteur de puissance et à la compensation de l'énergie réactive.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