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Risques naturels et technologiques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Mébarki, Ahmed/ Lafuente, Marianela/ Genatios, Carlos/ Calgaro, Jean-Armand/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9782859784362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séismes/ effets structuraux des sécheresses/ inondations/ explosions industrielles/ sécheresses/ </w:t>
            </w:r>
          </w:p>
        </w:tc>
      </w:tr>
    </w:tbl>
    <w:p>
      <w:pPr>
        <w:pStyle w:val="Heading3"/>
      </w:pPr>
      <w:r>
        <w:t>Résumé :</w:t>
      </w:r>
    </w:p>
    <w:p>
      <w:r>
        <w:t>Cet ouvrage collectif, dirigé par Ahmed Mébarki, Carlos Genatios et Marianela Lafuente, traite de l’évaluation et de la gestion des risques naturels et technologiques appliqués aux territoires et aux constructions. Il analyse les notions d’aléa, de vulnérabilité et de fiabilité des ouvrages, en mettant l’accent sur les approches probabilistes permettant de mieux quantifier les risques.</w:t>
        <w:br/>
        <w:br/>
        <w:br/>
        <w:br/>
        <w:t>L’ouvrage présente notamment les apports de projets de coopération scientifique et de recherche partenariale, ainsi que des méthodes d’analyse et de modélisation destinées à améliorer la prévention des catastrophes, la conception des constructions et la prise de décision face aux risques. Il constitue une référence à l’interface entre génie civil, génie parasismique, géotechnique, gestion des risques et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