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membranaire et cellulaire d’un bio- indicateur des milieux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Benamara, Sarah/ Sbartai, Ibtissem/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ostreococcus tauri/ thylakoïdes/ galactolipides/ </w:t>
            </w:r>
          </w:p>
        </w:tc>
      </w:tr>
    </w:tbl>
    <w:p>
      <w:pPr>
        <w:pStyle w:val="Heading3"/>
      </w:pPr>
      <w:r>
        <w:t>Résumé :</w:t>
      </w:r>
    </w:p>
    <w:p>
      <w:r>
        <w:t>Les membranes thylakoïdales, lieux cruciaux de la photosynthèse, possèdent une composition lipidique atypique dominée par les galactolipides monogalactosyldiacylglycérol (MGDG) et digalactosyldiacylglycérol (DGDG)  Ces lipides, fortement insaturés, donnent aux membranes une plasticité et une</w:t>
        <w:br/>
        <w:br/>
        <w:t>capacité d’adaptation remarquables face aux changements environnementaux. Cependant, les relations entre leur structure moléculaire, leurs propriétés biophysiques et leur rôle fonctionnel dans les membranes photosynthétiques</w:t>
        <w:br/>
        <w:br/>
        <w:t>restent encore partiellement flou, notamment chez les pico-algues telles que Ostreococcus tauri, modèle minimaliste d’eucaryote photosynthétique.L’objectif principal de cette thèse est de caractériser les propriétés biophysiques et la structure des membranes thylakoïdales de Ostreococcus tauri afin de mieux assimiler le rôle de leur composition lipidique dans la stabilité et la réactivité membranes. Mais aussi évaluer la stabilité et les transitions structurales des lipides sous contrainte de compression et analyser l’influence des interactions</w:t>
        <w:br/>
        <w:br/>
        <w:t>lipides–xénobioque sur la structure membranaire à travers des modèles synthétiques. Une étude combinant microscopie à force atomique (AFM) et films de Langmuir-Blodgett a été adopté afin d’étudier le comportement de MGDG et DGDG sous compression. Les résultats ont prouvé que les lipides MGDG et DGDG forment des monocouches stables en phase liquide expansée (LE), mais présentent des comportements distincts sous compression. Le MGDG, de nature conique et non bilayère, manifeste une instabilité accrue liée à l’oxydation de ses chaînes hydrophobes et à la désorption moléculaire hors du plan de la monocouche. Le DGDG, de forme cylindrique, montre une meilleure cohésion et une plus grande stabilité. Ces différences structurales se traduisent par une propension variable à la formation de phases polymorphes, suggérant un rôle clé du MGDG dans la flexibilité et la plasticité des membranes thylakoïdales, caractéristiques importantes des systèmes de conversion d’énergie. Ces résultats constituent une base solide pour des études futures sur les interactions lipides– protéines et sur la réponse membranaire aux métaux lourds, ouvrant des perspectives vers des applications en biotechnologie environnementale et bioremédiation.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