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Design of high frequency integrated analogue filters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Sun, Yichuang/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Institution of Electrical Engineers/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9780852969762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 linéaire/ design and construction/ </w:t>
            </w:r>
          </w:p>
        </w:tc>
      </w:tr>
    </w:tbl>
    <w:p>
      <w:pPr>
        <w:pStyle w:val="Heading3"/>
      </w:pPr>
      <w:r>
        <w:t>Résumé :</w:t>
      </w:r>
    </w:p>
    <w:p>
      <w:r>
        <w:t>Analogue filters will always be needed for interfacing between digital systems and the 'real' analogue world. In fact, the high frequency integrated analogue filter has become a key component in achieving ubiquitous communication and computing. In recent years, the renewed interest in analogue, mixed-signal and RF circuits due to the need for system-on-chip design and the market for wireless communications has led to a new peak of research into high frequency integrated analogue filters.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