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Electrical machines. V2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Ivanov-Smolensky. A/ Kuznetsov, Boris, V./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 Publishres/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circle diagram/ motor starting/ </w:t>
            </w:r>
          </w:p>
        </w:tc>
      </w:tr>
    </w:tbl>
    <w:p>
      <w:pPr>
        <w:pStyle w:val="Heading3"/>
      </w:pPr>
      <w:r>
        <w:t>Résumé :</w:t>
      </w:r>
    </w:p>
    <w:p>
      <w:r>
        <w:t>The volume begins with mechanical, thermal and hydraulic aspects of machine design, including cooling systems, dimensions, electromagnetic loading, mechanical stresses and heat transfer.</w:t>
        <w:br/>
        <w:br/>
        <w:br/>
        <w:br/>
        <w:t>The largest section is devoted to induction machines, covering their construction, electromagnetic processes, equivalent circuits, torque, starting, speed control, unbalanced operation, single-phase motors and special-purpose machines. The final section deals with synchronous machines, including excitation systems, electromagnetic processes, armature windings, generators, parallel operation, synchronization, stability, unbalanced operation and special-purpose synchronous machines.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