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Peulot, Edmond/ </w:t>
            </w:r>
          </w:p>
        </w:tc>
      </w:tr>
      <w:tr>
        <w:trPr>
          <w:trHeight w:val="567"/>
        </w:trPr>
        <w:tc>
          <w:tcPr>
            <w:tcW w:type="dxa" w:w="3000"/>
          </w:tcPr>
          <w:p>
            <w:r>
              <w:t>Adresse bib.</w:t>
            </w:r>
          </w:p>
        </w:tc>
        <w:tc>
          <w:tcPr>
            <w:tcW w:type="dxa" w:w="7000"/>
          </w:tcPr>
          <w:p>
            <w:r>
              <w:t xml:space="preserve">Hachette/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industriel/ système automatique/ </w:t>
            </w:r>
          </w:p>
        </w:tc>
      </w:tr>
    </w:tbl>
    <w:p>
      <w:pPr>
        <w:pStyle w:val="Heading3"/>
      </w:pPr>
      <w:r>
        <w:t>Résumé :</w:t>
      </w:r>
    </w:p>
    <w:p>
      <w:r>
        <w:t>Cet ouvrage est un manuel d’initiation à l’automatique industrielle, destiné aux élèves de première année des lycées techniques et collèges d’enseignement technique, ainsi qu'à la formation permanente.</w:t>
        <w:br/>
        <w:br/>
        <w:t xml:space="preserve">il associe un cours théorique à des travaux pratiques, avec une orientation vers la compréhension et la réalisation des automatismes industriels. l’enseignement de cette période couvre notamment la classification des automatismes, les systèmes à séquences, les systèmes asservis et les différentes techniques de réalisation : mécanique, pneumatique, hydraulique, électrique et électronique. </w:t>
        <w:br/>
        <w:br/>
        <w:t>le contenu met également l'accent sur les circuits logiques, les organes de détection et de commande, les systèmes séquentiels et les principes fondamentaux des asservissements. les travaux pratiques permettent de caractériser expérimentalement les composants et d'étudier des circuits logiques, des systèmes séquentiels et des systèmes asservis.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