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Aérodynamique subsonique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Paraschivoiu, Ion/ </w:t>
            </w:r>
          </w:p>
        </w:tc>
      </w:tr>
      <w:tr>
        <w:trPr>
          <w:trHeight w:val="567"/>
        </w:trPr>
        <w:tc>
          <w:tcPr>
            <w:tcW w:type="dxa" w:w="3000"/>
          </w:tcPr>
          <w:p>
            <w:r>
              <w:t>Adresse bib.</w:t>
            </w:r>
          </w:p>
        </w:tc>
        <w:tc>
          <w:tcPr>
            <w:tcW w:type="dxa" w:w="7000"/>
          </w:tcPr>
          <w:p>
            <w:r>
              <w:t xml:space="preserve">Editions de l'école Polytechnique de Montréal/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553-572</w:t>
            </w:r>
          </w:p>
        </w:tc>
      </w:tr>
      <w:tr>
        <w:trPr>
          <w:trHeight w:val="567"/>
        </w:trPr>
        <w:tc>
          <w:tcPr>
            <w:tcW w:type="dxa" w:w="3000"/>
          </w:tcPr>
          <w:p>
            <w:r>
              <w:t>Numéro d'Identification</w:t>
            </w:r>
          </w:p>
        </w:tc>
        <w:tc>
          <w:tcPr>
            <w:tcW w:type="dxa" w:w="7000"/>
          </w:tcPr>
          <w:p>
            <w:r>
              <w:t>2553006845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aérodynamique subsonique/ écoulement subsonique/ </w:t>
            </w:r>
          </w:p>
        </w:tc>
      </w:tr>
    </w:tbl>
    <w:p>
      <w:pPr>
        <w:pStyle w:val="Heading3"/>
      </w:pPr>
      <w:r>
        <w:t>Résumé :</w:t>
      </w:r>
    </w:p>
    <w:p>
      <w:r>
        <w:t>L'étude des problèmes d'aérodynamique en régime subsonique occupe une place prépondérante dans la compréhension des principes fondamentaux de la dynamique des fluides et de leurs applications aux écoulements externes et internes. cet ouvrage traite des écoulements des fluides parfaits et incompressibles autour de configurations très variées, comme les profils aérodynamiques, les ailes portantes, les hélices et corps axisymétriques, et ce en vue de déterminer les caractéristiques aérodynamiques de ces configurations.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