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Physics in one dimension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Bernasconi, J./ Shneider,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Solid-State Sciences(N°:23)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0387105867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physics/ </w:t>
            </w:r>
          </w:p>
        </w:tc>
      </w:tr>
    </w:tbl>
    <w:p>
      <w:pPr>
        <w:pStyle w:val="Heading3"/>
      </w:pPr>
      <w:r>
        <w:t>Résumé :</w:t>
      </w:r>
    </w:p>
    <w:p>
      <w:r>
        <w:t>Today, the situation is even worse, and we hope that these Proceedings will be a valuable guide to some of the main current areas of one-dimensional physics. From a theoretical point of view, one-dimensional problems have always been very attractive. Many non-trivial models are soluble in one dimension, while they are only approximately understood in three dimensions. Therefore, the corresponding exact solutions serve as a useful test of approximate ma­ thematical methods, and certain features of the one-dimensional solution re­ main relevant in higher dimensions. On the other hand, many important phe­ nomena are strongly enhanced, and many concepts show up especially clearly in one-dimensional or quasi -one-dimensional systems. Among them are the ef­ fects of fluctuations, of randomness, and of nonlinearity; a number of in­ teresting consequences are specific to one dimension.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