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AJAX en pratique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Crane, Dave/ Pascarello, Eric/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612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CampusPress référence(N°:None)</w:t>
            </w:r>
          </w:p>
        </w:tc>
      </w:tr>
      <w:tr>
        <w:trPr>
          <w:trHeight w:val="567"/>
        </w:trPr>
        <w:tc>
          <w:tcPr>
            <w:tcW w:type="dxa" w:w="3000"/>
          </w:tcPr>
          <w:p>
            <w:r>
              <w:t>Notes Générales</w:t>
            </w:r>
          </w:p>
        </w:tc>
        <w:tc>
          <w:tcPr>
            <w:tcW w:type="dxa" w:w="7000"/>
          </w:tcPr>
          <w:p>
            <w:r>
              <w:t>Webliogr. p. 591-604. Index</w:t>
            </w:r>
          </w:p>
        </w:tc>
      </w:tr>
      <w:tr>
        <w:trPr>
          <w:trHeight w:val="567"/>
        </w:trPr>
        <w:tc>
          <w:tcPr>
            <w:tcW w:type="dxa" w:w="3000"/>
          </w:tcPr>
          <w:p>
            <w:r>
              <w:t>Numéro d'Identification</w:t>
            </w:r>
          </w:p>
        </w:tc>
        <w:tc>
          <w:tcPr>
            <w:tcW w:type="dxa" w:w="7000"/>
          </w:tcPr>
          <w:p>
            <w:r>
              <w:t>2744020605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applications web/ services web/ </w:t>
            </w:r>
          </w:p>
        </w:tc>
      </w:tr>
    </w:tbl>
    <w:p>
      <w:pPr>
        <w:pStyle w:val="Heading3"/>
      </w:pPr>
      <w:r>
        <w:t>Résumé :</w:t>
      </w:r>
    </w:p>
    <w:p>
      <w:r>
        <w:t>Cet ouvrage présente AJAX (Asynchronous JavaScript and XML) et son utilisation pour développer des applications Web plus interactives, rapides et dynamiques. Il explique comment répartir les traitements entre le navigateur et le serveur, communiquer avec le serveur de manière asynchrone, manipuler les données et construire des interfaces Web réactives. L’ouvrage aborde également l’optimisation, la maintenance, la compatibilité entre navigateurs et les bonnes pratiques de conception d’applications AJAX.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