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infrarouge et ses application analytiques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Dominique/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Index p.p. 648-660</w:t>
            </w:r>
          </w:p>
        </w:tc>
      </w:tr>
      <w:tr>
        <w:trPr>
          <w:trHeight w:val="567"/>
        </w:trPr>
        <w:tc>
          <w:tcPr>
            <w:tcW w:type="dxa" w:w="3000"/>
          </w:tcPr>
          <w:p>
            <w:r>
              <w:t>Numéro d'Identification</w:t>
            </w:r>
          </w:p>
        </w:tc>
        <w:tc>
          <w:tcPr>
            <w:tcW w:type="dxa" w:w="7000"/>
          </w:tcPr>
          <w:p>
            <w:r>
              <w:t>2743008095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agroalimentaire/ mécanique quantique/ </w:t>
            </w:r>
          </w:p>
        </w:tc>
      </w:tr>
    </w:tbl>
    <w:p>
      <w:pPr>
        <w:pStyle w:val="Heading3"/>
      </w:pPr>
      <w:r>
        <w:t>Résumé :</w:t>
      </w:r>
    </w:p>
    <w:p>
      <w:r>
        <w:t>Le livre La spectroscopie infrarouge et ses applications analytiques présente les principes fondamentaux de la spectroscopie infrarouge, l’interprétation des spectres et l’identification des groupes fonctionnels, tout en exposant ses principales applications dans l’analyse qualitative et quantitative des composés chimiques, notamment en chimie organique, minérale et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