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fatigue des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Cazaud, Roger/ Persoz, L./ Caquot, Albert/ Pomey, G./ </w:t>
            </w:r>
          </w:p>
        </w:tc>
      </w:tr>
      <w:tr>
        <w:trPr>
          <w:trHeight w:val="567"/>
        </w:trPr>
        <w:tc>
          <w:tcPr>
            <w:tcW w:type="dxa" w:w="3000"/>
          </w:tcPr>
          <w:p>
            <w:r>
              <w:t>Edition</w:t>
            </w:r>
          </w:p>
        </w:tc>
        <w:tc>
          <w:tcPr>
            <w:tcW w:type="dxa" w:w="7000"/>
          </w:tcPr>
          <w:p>
            <w:r>
              <w:t>5èm. éd. remise a jour</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 fatigue des métaux/ </w:t>
            </w:r>
          </w:p>
        </w:tc>
      </w:tr>
    </w:tbl>
    <w:p>
      <w:pPr>
        <w:pStyle w:val="Heading3"/>
      </w:pPr>
      <w:r>
        <w:t>Résumé :</w:t>
      </w:r>
    </w:p>
    <w:p>
      <w:r>
        <w:t>La fatigue des métaux de R. Cazaud explique comment les métaux peuvent se fissurer et se casser lorsqu’ils subissent des efforts répétés, même si ces efforts sont faibles. L’ouvrage présente les causes de la fatigue, la formation des fissures et les moyens de prévenir les ruptures des pièces métalliques.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