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en régime permanent sinusoïdal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Riaux, E/ Fortin, F/ Ollivier, R/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réactance/ puissance active/ </w:t>
            </w:r>
          </w:p>
        </w:tc>
      </w:tr>
    </w:tbl>
    <w:p>
      <w:pPr>
        <w:pStyle w:val="Heading3"/>
      </w:pPr>
      <w:r>
        <w:t>Résumé :</w:t>
      </w:r>
    </w:p>
    <w:p>
      <w:r>
        <w:t>L’ouvrage aborde les impédances et admittances, les lois de Kirchhoff, les méthodes des mailles et des nœuds ainsi que différents théorèmes de circuits. Une attention particulière est consacrée au calcul des puissances active, réactive et apparente, au facteur de puissance et aux phénomènes de résonance dans les circuits RLC. Les systèmes triphasés et leurs applications dans les installations électriques sont également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