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 systèmes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Longchamp, Roland/ </w:t>
            </w:r>
          </w:p>
        </w:tc>
      </w:tr>
      <w:tr>
        <w:trPr>
          <w:trHeight w:val="567"/>
        </w:trPr>
        <w:tc>
          <w:tcPr>
            <w:tcW w:type="dxa" w:w="3000"/>
          </w:tcPr>
          <w:p>
            <w:r>
              <w:t>Adresse bib.</w:t>
            </w:r>
          </w:p>
        </w:tc>
        <w:tc>
          <w:tcPr>
            <w:tcW w:type="dxa" w:w="7000"/>
          </w:tcPr>
          <w:p>
            <w:r>
              <w:t xml:space="preserve">Presses polytechniques et universitaires romandes/ Tec et Doc/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411-417. Index p.p. 427-435.</w:t>
            </w:r>
          </w:p>
        </w:tc>
      </w:tr>
      <w:tr>
        <w:trPr>
          <w:trHeight w:val="567"/>
        </w:trPr>
        <w:tc>
          <w:tcPr>
            <w:tcW w:type="dxa" w:w="3000"/>
          </w:tcPr>
          <w:p>
            <w:r>
              <w:t>Numéro d'Identification</w:t>
            </w:r>
          </w:p>
        </w:tc>
        <w:tc>
          <w:tcPr>
            <w:tcW w:type="dxa" w:w="7000"/>
          </w:tcPr>
          <w:p>
            <w:r>
              <w:t>288074282X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commande automatique/ </w:t>
            </w:r>
          </w:p>
        </w:tc>
      </w:tr>
    </w:tbl>
    <w:p>
      <w:pPr>
        <w:pStyle w:val="Heading3"/>
      </w:pPr>
      <w:r>
        <w:t>Résumé :</w:t>
      </w:r>
    </w:p>
    <w:p>
      <w:r>
        <w:t>Cet ouvrage s'adresse aux étudiants ingénieurs du deuxième cycle qui y découvriront, dans un cadre structuré et formateur, de puissantes méthodologies d'analyse et de synthèse des lois de commande. Il est aussi destiné aux ingénieurs diplômés soucieux de compléter ou de renouveler leurs connaissances de base en automatique. L'approche adoptée est résolument systémique et multidisciplinaire. Les outils qui sont élaborés peuvent être exploités pour la commande de systèmes extrêmement variés. Actuellement, pratiquement tous les projets d'automatisation tirent profit des vastes ressources informatiques disponibles, tant au niveau de la réalisation des régulateurs qu'à ceux de leur analyse et de leur conception. Le livre reflète ce fait : les aspects numériques sont soigneusement pris en compte et explorés. Les derniers chapitres forment une ouverture vers des domaines avancés : régulateur polynomial et synthèse algébrique, identification, commande adaptative et auto-ajustement. L'exposé est mathématiquement rigoureux, sans pour autant sacrifier les aspects pratiques. De nombreux exemples disséminés au fil des pages illustrent les difficultés et la portée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