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Granju,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9782212138429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fondations superficielles/ poutres/ </w:t>
            </w:r>
          </w:p>
        </w:tc>
      </w:tr>
    </w:tbl>
    <w:p>
      <w:pPr>
        <w:pStyle w:val="Heading3"/>
      </w:pPr>
      <w:r>
        <w:t>Résumé :</w:t>
      </w:r>
    </w:p>
    <w:p>
      <w:r>
        <w:t>Conformément aux prescriptions de l'Eurocode 2 et en s'appuyant sur des exemples courants illustrés de nombreux schémas, l'auteur expose ici de façon didactique les bases de la connaissance du béton armé: ses propriétés et son comportement. L'ensemble est complété par des outils - volontairement simples - d'estimation des ordres de grandeur, de prévision et de contrôle d'un dimensionnement. A jour de la réglementation - dont les dernières propositions de la commission de normalisation française pour le calcul des structures en béton -, cette nouvelle édition' prend par ailleurs strictement en compte la classe de ductilité des aciers et intègre les dernières évolutions des treillis soudés.</w:t>
        <w:br/>
        <w:br/>
        <w:t>Destiné aux futurs professionnels de la construction inscrits en BTS, IUT, licence pro et master ainsi qu'aux élèves ingénieurs et aux professionnels en formation continue, ce ,, nouveau manuel - complet et illustré de nombreux exemples - est centré sur les cas les plus souvent rencontrés dans des bâtiments courants.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