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Règlements étrangers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Chaudesaigues,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X-293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code Modèle CEB-FIP/ CP 110 (Grande Bretagne)/ Din 1045 (Allemagne fédérale)/ ACI 318-77(Etats Unis)/ </w:t>
            </w:r>
          </w:p>
        </w:tc>
      </w:tr>
    </w:tbl>
    <w:p>
      <w:pPr>
        <w:pStyle w:val="Heading3"/>
      </w:pPr>
      <w:r>
        <w:t>Résumé :</w:t>
      </w:r>
    </w:p>
    <w:p>
      <w:r>
        <w:t>Pendant longtemps, l'ingénieur de béton armé a pu développer ses projets à l'aide des connaissances de base du calcul qu'il avait acquises et de son expérience, dans le cadre d'une réglementation de caractère général posant un certain nombre de principes techniques et définissant le comportement des principaux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