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Réanimation, urgences et défaillances viscérales aiguës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Lerolle, Nicolas/ Schwebel, Carole/ Collège des enseignants de médecine intensive - réanimation/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622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La couv. porte en plus : "réussir les épreuves classantes nationales" et "ECNi 2016, 2017, 2018...".  Bibliogr. Index</w:t>
            </w:r>
          </w:p>
        </w:tc>
      </w:tr>
      <w:tr>
        <w:trPr>
          <w:trHeight w:val="567"/>
        </w:trPr>
        <w:tc>
          <w:tcPr>
            <w:tcW w:type="dxa" w:w="3000"/>
          </w:tcPr>
          <w:p>
            <w:r>
              <w:t>Numéro d'Identification</w:t>
            </w:r>
          </w:p>
        </w:tc>
        <w:tc>
          <w:tcPr>
            <w:tcW w:type="dxa" w:w="7000"/>
          </w:tcPr>
          <w:p>
            <w:r>
              <w:t>9782294742378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urgences médicales/ réanimation/ </w:t>
            </w:r>
          </w:p>
        </w:tc>
      </w:tr>
    </w:tbl>
    <w:p>
      <w:pPr>
        <w:pStyle w:val="Heading3"/>
      </w:pPr>
      <w:r>
        <w:t>Résumé :</w:t>
      </w:r>
    </w:p>
    <w:p>
      <w:r>
        <w:t>En conformité avec le programme de DFASM (diplôme de formation approfondie en sciences médicales) et avec les Epreuves Classantes Nationales (ECNi), cet ouvrage rassemble l'ensemble des connaissances fondamentales en réanimation, urgences et défaillances viscérales aiguës. Il comprend deux parties distinctes : 1/ une partie Connaissances qui aborde tous les items traitant de la réanimation, les urgences et les défaillances viscérales aiguës du programme de l'ECN. L'ouvrage est organisé en 12 sections qui traitent des différentes défaillances viscérales aiguës et des intoxications aiguës ainsi que des pathologies environnementales et circonstancielles, des infections graves, des complications graves de la grossesse, de la iatrogénie et de la qualité des soins, et pour finir des aspects éthiques des défaillances vitales. Chaque chapitre commence systématiquement par un rappel des objectifs pédagogiques, puis développe la thématique, étayée de points clés, de notions à retenir, de tableaux et de figures, avec un accès aux textes des recommandations et sites internet par flashcodes. En fin d'ouvrage, l'annexe présente la trousse d'urgence de l'urgentiste. 2/ une partie Entraînement qui propose des cas cliniques QCM corrigés avec les réponses indispensables ou inadmissibles ainsi que des questions isolées, offrant un véritable outil d'entraînement et d'auto-évaluation. L'ouvrage s'inscrit dans la collection Les référentiels des Collèges dont le format et la maquette en deux couleurs offrent une clarté de lecture et facilitent la compréhension et la mémorisation. Cette 5e édition propose une mise à jour complète des données médicales et un renouvellement des entraînements.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