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programmée et GRAFCET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Jacques, Alain/ Lafont, Jean-Claude/ Vabre, Jean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2729887601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programmée/ GRAFCET/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des rares à expliquer une méthode pour implanter n'importe quel Grafcet dans un système programmé. Celle qui est exposée ici le fait par de nombreux exemples traités d'une manière complète : cahier des charges, GRAFCET, schémas, programmes.</w:t>
        <w:br/>
        <w:br/>
        <w:t>Public : élèves ingénieurs des écoles enseignant l'électronique et l'automatique ; aux élèves des IUT (génie électrique) ou des classes de BTS (Electronique) ; aux élèves de la filière électronique, électrotechnique et automatique du Conservatoire National des Arts et Métiers ; aux élèves de Licences et Maîtrises EEA, ou des Télécommunications des universités, et à tous ceux qui ont besoin de travailler dans les domaines de la logique programmée, de la robotique et de la commande des processus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