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Cancérologie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Collège national des enseignants en cancérologie (France)/ Giraud, Philippe/ Trédaniel, Jean/ Spano, Jean-Philippe/ </w:t>
            </w:r>
          </w:p>
        </w:tc>
      </w:tr>
      <w:tr>
        <w:trPr>
          <w:trHeight w:val="567"/>
        </w:trPr>
        <w:tc>
          <w:tcPr>
            <w:tcW w:type="dxa" w:w="3000"/>
          </w:tcPr>
          <w:p>
            <w:r>
              <w:t>Edition</w:t>
            </w:r>
          </w:p>
        </w:tc>
        <w:tc>
          <w:tcPr>
            <w:tcW w:type="dxa" w:w="7000"/>
          </w:tcPr>
          <w:p>
            <w:r>
              <w:t>3e éd. actualisée</w:t>
            </w:r>
          </w:p>
        </w:tc>
      </w:tr>
      <w:tr>
        <w:trPr>
          <w:trHeight w:val="567"/>
        </w:trPr>
        <w:tc>
          <w:tcPr>
            <w:tcW w:type="dxa" w:w="3000"/>
          </w:tcPr>
          <w:p>
            <w:r>
              <w:t>Adresse bib.</w:t>
            </w:r>
          </w:p>
        </w:tc>
        <w:tc>
          <w:tcPr>
            <w:tcW w:type="dxa" w:w="7000"/>
          </w:tcPr>
          <w:p>
            <w:r>
              <w:t xml:space="preserve">Med-Line éditions/ </w:t>
            </w:r>
          </w:p>
        </w:tc>
      </w:tr>
      <w:tr>
        <w:trPr>
          <w:trHeight w:val="567"/>
        </w:trPr>
        <w:tc>
          <w:tcPr>
            <w:tcW w:type="dxa" w:w="3000"/>
          </w:tcPr>
          <w:p>
            <w:r>
              <w:t>Nombre de Pages</w:t>
            </w:r>
          </w:p>
        </w:tc>
        <w:tc>
          <w:tcPr>
            <w:tcW w:type="dxa" w:w="7000"/>
          </w:tcPr>
          <w:p>
            <w:r>
              <w:t>434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Le référentiel : le cours : livre officiel du collège(N°:None)</w:t>
            </w:r>
          </w:p>
        </w:tc>
      </w:tr>
      <w:tr>
        <w:trPr>
          <w:trHeight w:val="567"/>
        </w:trPr>
        <w:tc>
          <w:tcPr>
            <w:tcW w:type="dxa" w:w="3000"/>
          </w:tcPr>
          <w:p>
            <w:r>
              <w:t>Notes Générales</w:t>
            </w:r>
          </w:p>
        </w:tc>
        <w:tc>
          <w:tcPr>
            <w:tcW w:type="dxa" w:w="7000"/>
          </w:tcPr>
          <w:p>
            <w:r>
              <w:t>R2C = réforme du second cycle</w:t>
            </w:r>
          </w:p>
        </w:tc>
      </w:tr>
      <w:tr>
        <w:trPr>
          <w:trHeight w:val="567"/>
        </w:trPr>
        <w:tc>
          <w:tcPr>
            <w:tcW w:type="dxa" w:w="3000"/>
          </w:tcPr>
          <w:p>
            <w:r>
              <w:t>Numéro d'Identification</w:t>
            </w:r>
          </w:p>
        </w:tc>
        <w:tc>
          <w:tcPr>
            <w:tcW w:type="dxa" w:w="7000"/>
          </w:tcPr>
          <w:p>
            <w:r>
              <w:t>9782846783057</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Cancérologie/ oncologie médicale/ </w:t>
            </w:r>
          </w:p>
        </w:tc>
      </w:tr>
    </w:tbl>
    <w:p>
      <w:pPr>
        <w:pStyle w:val="Heading3"/>
      </w:pPr>
      <w:r>
        <w:t>Résumé :</w:t>
      </w:r>
    </w:p>
    <w:p>
      <w:r>
        <w:t>L'ouvrage officiel réalisé par le Collège National des Enseignants en Cancérologie (CNEC) pour les étudiants du DFASM. Conçu et rédigé par près de 100 enseignants de Cancérologie. Tout le nouveau programme de connaissances de la spécialité pour la R2C …</w:t>
        <w:br/>
        <w:br/>
        <w:t>L'ouvrage officiel réalisé par le Collège National des Enseignants en Cancérologie (CNEC) pour les étudiants du DFASM. Conçu et rédigé par près de 100 enseignants de Cancérologie. Tout le nouveau programme de connaissances de la spécialité pour la R2C et les modules du DFASM, avec la nouvelle numérotation. Pour chaque item, les objectifs de connaissances hiérarchisés en rang A et rang B (dans un tableau en début d'item et tout au long de l'item grâce à un repérage couleur).</w:t>
        <w:br/>
        <w:br/>
        <w:t>Toutes les situations de départ en lien avec les différents objectifs de connaissances (tout au long de l'item grâce à un repérage couleur, et à la fin de l'item dans un tableau récapitulatif). Une iconographie abondante pour faciliter l'apprentissage.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