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Cardiologie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Seguro, F./ </w:t>
            </w:r>
          </w:p>
        </w:tc>
      </w:tr>
      <w:tr>
        <w:trPr>
          <w:trHeight w:val="567"/>
        </w:trPr>
        <w:tc>
          <w:tcPr>
            <w:tcW w:type="dxa" w:w="3000"/>
          </w:tcPr>
          <w:p>
            <w:r>
              <w:t>Edition</w:t>
            </w:r>
          </w:p>
        </w:tc>
        <w:tc>
          <w:tcPr>
            <w:tcW w:type="dxa" w:w="7000"/>
          </w:tcPr>
          <w:p>
            <w:r>
              <w:t>module 9</w:t>
            </w:r>
          </w:p>
        </w:tc>
      </w:tr>
      <w:tr>
        <w:trPr>
          <w:trHeight w:val="567"/>
        </w:trPr>
        <w:tc>
          <w:tcPr>
            <w:tcW w:type="dxa" w:w="3000"/>
          </w:tcPr>
          <w:p>
            <w:r>
              <w:t>Adresse bib.</w:t>
            </w:r>
          </w:p>
        </w:tc>
        <w:tc>
          <w:tcPr>
            <w:tcW w:type="dxa" w:w="7000"/>
          </w:tcPr>
          <w:p>
            <w:r>
              <w:t xml:space="preserve">Vernazobres-Grego/ </w:t>
            </w:r>
          </w:p>
        </w:tc>
      </w:tr>
      <w:tr>
        <w:trPr>
          <w:trHeight w:val="567"/>
        </w:trPr>
        <w:tc>
          <w:tcPr>
            <w:tcW w:type="dxa" w:w="3000"/>
          </w:tcPr>
          <w:p>
            <w:r>
              <w:t>Nombre de Pages</w:t>
            </w:r>
          </w:p>
        </w:tc>
        <w:tc>
          <w:tcPr>
            <w:tcW w:type="dxa" w:w="7000"/>
          </w:tcPr>
          <w:p>
            <w:r>
              <w:t>396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La couv. porte en plus : "tous les dossiers de spécialité couvrant l'ensemble de la matière, dossiers de consensus intégrés..."</w:t>
            </w:r>
          </w:p>
        </w:tc>
      </w:tr>
      <w:tr>
        <w:trPr>
          <w:trHeight w:val="567"/>
        </w:trPr>
        <w:tc>
          <w:tcPr>
            <w:tcW w:type="dxa" w:w="3000"/>
          </w:tcPr>
          <w:p>
            <w:r>
              <w:t>Numéro d'Identification</w:t>
            </w:r>
          </w:p>
        </w:tc>
        <w:tc>
          <w:tcPr>
            <w:tcW w:type="dxa" w:w="7000"/>
          </w:tcPr>
          <w:p>
            <w:r>
              <w:t>9782818303030</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cardiologie/ Épreuves dématérialisées nationales/ </w:t>
            </w:r>
          </w:p>
        </w:tc>
      </w:tr>
    </w:tbl>
    <w:p>
      <w:pPr>
        <w:pStyle w:val="Heading3"/>
      </w:pPr>
      <w:r>
        <w:t>Résumé :</w:t>
      </w:r>
    </w:p>
    <w:p>
      <w:r>
        <w:t>Ce manuel de révision médicale, rédigé par François Seguro et destiné à la préparation des épreuves classantes (ECN/EDN), synthétise de manière très concrète l'ensemble des connaissances indispensables en médecine vasculaire et cardiologie. Il aborde en détail les pathologies artérielles, notamment l'athérosclérose, l'artériopathie oblitérante des membres inférieurs (AOMI), les anévrisme de l'aorte abdominale et les urgences artérielles graves comme l'ischémie aiguë et la dissection aortique. L'ouvrage traite également en profondeur la maladie thrombo-embolique veineuse, en posant les critères diagnostiques et thérapeutiques de la thrombose veineuse profonde et de l'embolie pulmonaire, tout en couvrant l'insuffisance veineuse chronique. Enfin, une partie est consacrée aux affections inflammatoires vasculaires, telles que les vascularites (maladie de Horton, maladie de Takayasu) et le phénomène de Raynaud, le tout structuré sous forme de fiches méthodologiques, d'arbres décisionnels et de points clés à mémoriser pour la pratique clinique et les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