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Maladies vectorielles à 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Bennia, Sohaib El Ghazali/ Lamara, Ali/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émergence/ renard roux/ séroprévalence/ </w:t>
            </w:r>
          </w:p>
        </w:tc>
      </w:tr>
    </w:tbl>
    <w:p>
      <w:pPr>
        <w:pStyle w:val="Heading3"/>
      </w:pPr>
      <w:r>
        <w:t>Résumé :</w:t>
      </w:r>
    </w:p>
    <w:p>
      <w:r>
        <w:t xml:space="preserve">Les maladies vectorielles constituent un enjeu majeur de santé publique et animale. Les tiques, de par la diversité de leurs hôtes et leur comportement strictement hématophage, sont des vecteurs  majeurs de maladies bactériennes, virales et parasitaires à travers le monde. L'incidence croissante  des maladies à tiques, associée à l'émergence de nouvelles infections et à la ré émergence d'autres,  soulève plusieurs préoccupations en Algérie. C'est dans ce contexte que s'inscrit la présente thèse, structurée en trois volets complémentaires.  Le premier volet est consacré à une synthèse bibliographique des maladies et des agents  pathogènes transmis par les tiques en Algérie. Le second volet met en évidence de la diversité et  l'importance de la faune sauvage et des espèces de tiques associées dans l'épidémiologie des maladies à transmission vectorielle. Enfin, le troisième volet repose sur notre contribution à l'étude de la circulation du virus de la fièvre hémorragique de Crimée-Congo au sein de la population ovine dans certaines régions du Nord-Est algérien, particulièrement la région de Bordj BouArreridj, Mila, Constantine, Annaba et El Tarf. Notre étude a permis de mettre en évidence l'importance des maladies et des agents pathogènes transmis par les tiques en Algérie, ainsi que le rôle de la faune sauvage dans leur épidémiologie. Elle a également permis de signaler, pour la première fois, les tiques infestant le renard roux en </w:t>
        <w:br/>
        <w:br/>
        <w:t xml:space="preserve">Algérie, ainsi que de mettre en évidence la présence d'Ixodes hexagones dans de nouvelles régions  du Nord-Est algérien. Enfin, notre étude montre, pour la première fois, l’infection des ovins par le virus de la fièvre  hémorragique de Crimée-Congo avec une séroprévalence de 39,13 %. La région, l’âge et le type d’élevage ont été identifiés comme facteurs de risque associés à cette infection.  Bien que les données disponibles restent limitées face aux changements environnementaux et </w:t>
        <w:br/>
        <w:br/>
        <w:t>climatiques, nos travaux fournissent des éléments essentiels pour les études futures et la mise en place de stratégies de surveillance et de lutte contre les vecteurs.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