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Closed cycle gas Turbines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Frutschi, Hans Ulrich/ </w:t>
            </w:r>
          </w:p>
        </w:tc>
      </w:tr>
      <w:tr>
        <w:trPr>
          <w:trHeight w:val="567"/>
        </w:trPr>
        <w:tc>
          <w:tcPr>
            <w:tcW w:type="dxa" w:w="3000"/>
          </w:tcPr>
          <w:p>
            <w:r>
              <w:t>Adresse bib.</w:t>
            </w:r>
          </w:p>
        </w:tc>
        <w:tc>
          <w:tcPr>
            <w:tcW w:type="dxa" w:w="7000"/>
          </w:tcPr>
          <w:p>
            <w:r>
              <w:t xml:space="preserve">ASME/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9781860584800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external combustion/ turbomachinery/ </w:t>
            </w:r>
          </w:p>
        </w:tc>
      </w:tr>
    </w:tbl>
    <w:p>
      <w:pPr>
        <w:pStyle w:val="Heading3"/>
      </w:pPr>
      <w:r>
        <w:t>Résumé :</w:t>
      </w:r>
    </w:p>
    <w:p>
      <w:r>
        <w:t>The book combines historical operating experience with detailed engineering analysis of thermodynamics, turbomachinery, heat exchangers, and system control. It also explores advanced applications in nuclear energy, solar thermal power, cogeneration, LNG regasification, and future high-efficiency energy systems. Written by an engineer with extensive industrial experience, it serves as both a technical reference and a historical record of closed-cycle gas turbine technology.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