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barres dans les cas de sollicitation composé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Anissimov, A./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des barres/ sollicitations composées/ </w:t>
            </w:r>
          </w:p>
        </w:tc>
      </w:tr>
    </w:tbl>
    <w:p>
      <w:pPr>
        <w:pStyle w:val="Heading3"/>
      </w:pPr>
      <w:r>
        <w:t>Résumé :</w:t>
      </w:r>
    </w:p>
    <w:p>
      <w:r>
        <w:t>L'ouvrage présente les méthodes de calcul des barres lorsque celles-ci sont soumises à des sollicitations composées, c'est-à-dire à la combinaison de plusieurs types d'efforts mécaniques tels que la traction, la compression, la flexion, la torsion et le cisaillement. Contrairement aux cas simples, ces sollicitations combinées modifient la répartition des contraintes et nécessitent des méthodes de calcul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