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Énergie éolienne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 Gouriérès, Désiré/ </w:t>
            </w:r>
          </w:p>
        </w:tc>
      </w:tr>
      <w:tr>
        <w:trPr>
          <w:trHeight w:val="567"/>
        </w:trPr>
        <w:tc>
          <w:tcPr>
            <w:tcW w:type="dxa" w:w="3000"/>
          </w:tcPr>
          <w:p>
            <w:r>
              <w:t>Edition</w:t>
            </w:r>
          </w:p>
        </w:tc>
        <w:tc>
          <w:tcPr>
            <w:tcW w:type="dxa" w:w="7000"/>
          </w:tcPr>
          <w:p>
            <w:r>
              <w:t>2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279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 p.273-279</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eolienne/ conversion énergétique/ </w:t>
            </w:r>
          </w:p>
        </w:tc>
      </w:tr>
    </w:tbl>
    <w:p>
      <w:pPr>
        <w:pStyle w:val="Heading3"/>
      </w:pPr>
      <w:r>
        <w:t>Résumé :</w:t>
      </w:r>
    </w:p>
    <w:p>
      <w:r>
        <w:t>Ce livre est destiné aux ingénieurs, techniciens et chercheurs. Il est le fruit d'une coopération internationale. C'est un ouvrage scientifique et technique de valeur, très complet et pratique, qui permet au lecteur de devenir rapidement opérationnel. II est sans équivalent dans la littérature mondiale. Il contient toutes les théories nécessaires pour calculer une éolienne destinée à effectuer un service donné, qu'il s'agisse de machines à axe horizontal ou vertical. II comprend plusieurs chapitres novateurs concernant en particulier, les nouveaux aérogénérateurs, les parcs éoliens terrestres et offshore, le calcul des hydroliennes et l'intégration de l'énergie éolienne dans le parc national de production d'électricité. Les problèmes de pollution et du renouvellement des centrales nucléaires sont également abordés. Sa marque essentielle est la simplicité. L'ouvrage comporte de nombreuses figures et des photographies en couleur, des programmes de calcul et de multiples exemples d'application à des projets concrets d'installations, que le lecteur ne manquera pas d'apprécier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