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de construction mécanique et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Lemasson, G./ Blain, L/ </w:t>
            </w:r>
          </w:p>
        </w:tc>
      </w:tr>
      <w:tr>
        <w:trPr>
          <w:trHeight w:val="567"/>
        </w:trPr>
        <w:tc>
          <w:tcPr>
            <w:tcW w:type="dxa" w:w="3000"/>
          </w:tcPr>
          <w:p>
            <w:r>
              <w:t>Edition</w:t>
            </w:r>
          </w:p>
        </w:tc>
        <w:tc>
          <w:tcPr>
            <w:tcW w:type="dxa" w:w="7000"/>
          </w:tcPr>
          <w:p>
            <w:r>
              <w:t>5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matérial de construction/ construction mécanique/ </w:t>
            </w:r>
          </w:p>
        </w:tc>
      </w:tr>
    </w:tbl>
    <w:p>
      <w:pPr>
        <w:pStyle w:val="Heading3"/>
      </w:pPr>
      <w:r>
        <w:t>Résumé :</w:t>
      </w:r>
    </w:p>
    <w:p>
      <w:r>
        <w:t>L'ouvrage traite des matériaux ferreux (fontes, fers et aciers), des métaux et alliages non ferreux (aluminium, cuivre, zinc, magnésium, plomb, nickel, titane), des alliages de frottement, des matériaux réfractaires, des élastomères et des matières plastiques. Pour chaque famille, les auteurs décrivent les principales caractéristiques, les avantages, les limites et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