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à commande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Méry,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2866016076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chaîne cinématique/ rigidité structurelle/ </w:t>
            </w:r>
          </w:p>
        </w:tc>
      </w:tr>
    </w:tbl>
    <w:p>
      <w:pPr>
        <w:pStyle w:val="Heading3"/>
      </w:pPr>
      <w:r>
        <w:t>Résumé :</w:t>
      </w:r>
    </w:p>
    <w:p>
      <w:r>
        <w:t>Cet ouvrage montre que les concepts mécaniques de la robotique et ceux des langages informatiques structurés peuvent éclairer d'un jour nouveau la façon de comprendre et de mettre en oeuvre les machines-outils à commande numérique. Les premiers chapitres sont consacrés aux tâches à réaliser, à leur description et aux quelques outils mathématiques nécessaires. Vient ensuite l'exposé classique de la robotique élémentaire avec les notions de modèle géométrique et différentiel. On y traite de nombreux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