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Énergétique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Objectifs scientifiques de demain(N°:None)</w:t>
            </w:r>
          </w:p>
        </w:tc>
      </w:tr>
      <w:tr>
        <w:trPr>
          <w:trHeight w:val="567"/>
        </w:trPr>
        <w:tc>
          <w:tcPr>
            <w:tcW w:type="dxa" w:w="3000"/>
          </w:tcPr>
          <w:p>
            <w:r>
              <w:t>Notes Générales</w:t>
            </w:r>
          </w:p>
        </w:tc>
        <w:tc>
          <w:tcPr>
            <w:tcW w:type="dxa" w:w="7000"/>
          </w:tcPr>
          <w:p>
            <w:r>
              <w:t>Bibliogr. p.p. 195-201 . Index</w:t>
            </w:r>
          </w:p>
        </w:tc>
      </w:tr>
      <w:tr>
        <w:trPr>
          <w:trHeight w:val="567"/>
        </w:trPr>
        <w:tc>
          <w:tcPr>
            <w:tcW w:type="dxa" w:w="3000"/>
          </w:tcPr>
          <w:p>
            <w:r>
              <w:t>Numéro d'Identification</w:t>
            </w:r>
          </w:p>
        </w:tc>
        <w:tc>
          <w:tcPr>
            <w:tcW w:type="dxa" w:w="7000"/>
          </w:tcPr>
          <w:p>
            <w:r>
              <w:t>2225801576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éolienne/ eolienne/ </w:t>
            </w:r>
          </w:p>
        </w:tc>
      </w:tr>
    </w:tbl>
    <w:p>
      <w:pPr>
        <w:pStyle w:val="Heading3"/>
      </w:pPr>
      <w:r>
        <w:t>Résumé :</w:t>
      </w:r>
    </w:p>
    <w:p>
      <w:r>
        <w:t>de l'énergie cinétique du vent en énergie mécanique et électrique, en expliquant les phénomènes aérodynamiques, les caractéristiques du vent et les méthodes d'évaluation du potentiel éolien. L'auteur décrit les principaux types d'éoliennes, leurs composants, leurs systèmes de régulation ainsi que leurs performances, tout en proposant des méthodes de dimensionnement adaptées aux besoins énergétiques. L'ouvrage accorde une attention particulière aux applications pratiques, notamment le pompage de l'eau, la production d'électricité pour les sites isolés ou raccordés au réseau et le chauffage éolien, en mettant en évidence les critères techniques, économiques et de maintenance des installations. Grâce à une approche à la fois théorique et appliquée, illustrée par des exemples de calcul et des études de cas, ce livre fournit aux étudiants, ingénieurs et techniciens les connaissances nécessaires pour comprendre, concevoir et exploiter efficacement des systèmes éoliens. Malgré sa date de publication, il demeure une ressource précieuse pour l'étude des bases de l'énergie éolienne et de ses applications dans le domaine des énergies renouvelables.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