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Urso, Jean-Pierre/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Éducalivre-Casteilla/ </w:t>
            </w:r>
          </w:p>
        </w:tc>
      </w:tr>
      <w:tr>
        <w:trPr>
          <w:trHeight w:val="567"/>
        </w:trPr>
        <w:tc>
          <w:tcPr>
            <w:tcW w:type="dxa" w:w="3000"/>
          </w:tcPr>
          <w:p>
            <w:r>
              <w:t>Nombre de Pages</w:t>
            </w:r>
          </w:p>
        </w:tc>
        <w:tc>
          <w:tcPr>
            <w:tcW w:type="dxa" w:w="7000"/>
          </w:tcPr>
          <w:p>
            <w:r>
              <w:t>334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Mémotech(N°:None)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2713518806</w:t>
            </w:r>
          </w:p>
        </w:tc>
      </w:tr>
      <w:tr>
        <w:trPr>
          <w:trHeight w:val="567"/>
        </w:trPr>
        <w:tc>
          <w:tcPr>
            <w:tcW w:type="dxa" w:w="3000"/>
          </w:tcPr>
          <w:p>
            <w:r>
              <w:t>Sujet(s)</w:t>
            </w:r>
          </w:p>
        </w:tc>
        <w:tc>
          <w:tcPr>
            <w:tcW w:type="dxa" w:w="7000"/>
          </w:tcPr>
          <w:p>
            <w:r>
              <w:t xml:space="preserve">commande numérique/ </w:t>
            </w:r>
          </w:p>
        </w:tc>
      </w:tr>
    </w:tbl>
    <w:p>
      <w:pPr>
        <w:pStyle w:val="Heading3"/>
      </w:pPr>
      <w:r>
        <w:t>Résumé :</w:t>
      </w:r>
    </w:p>
    <w:p>
      <w:r>
        <w:t>Cette 2e édition, considérablement enrichie, renouvelle l'ensemble des données relatives à l'usinage sur machines-outils à commande numérique : principes de programmation et d'écriture des programmes, fonctions ISO en tournage et fraisage (y compris NUM 1060), programmation structurée. Elle comporte également 3 études de cas et des annexes regroupant tous les renseignements nécessaires sur les matériaux, le tolérancement, la cotation... La présentation claire, les nombreux tableaux et schémas, . l'index, facilitent la consultation et permettent à l'utilisateur de trouver immédiatement le renseignement recherché. Cet ouvrage de référence facilitera la tâche des élèves, des étudiants et des professeurs des sections de productique mécanique des lycées professionnels et technologiques, des STS et des IUT. Il intéressera également les auditeurs de la formation continue et les techniciens de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