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non linéaires.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française des sciences et technologies de l'information et des systèmes/ Groupe Non linéaire/ Fossard, André/ Normand-Cyrot, Dorothée/ Association française pour la cybernétique économique et technique/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XXIII-268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Série Automatique(N°:None)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2225840563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non linéaires/ </w:t>
            </w:r>
          </w:p>
        </w:tc>
      </w:tr>
    </w:tbl>
    <w:p>
      <w:pPr>
        <w:pStyle w:val="Heading3"/>
      </w:pPr>
      <w:r>
        <w:t>Résumé :</w:t>
      </w:r>
    </w:p>
    <w:p>
      <w:r>
        <w:t>Ce troisième tome est consacré à diverses approches de la commande passage d'une loi linéaire à une loi non linéaire, la linéarisation approchée, les techniques de découplage, linéarisations exactes par difféomorphisme et bouclage, entrées sorties ou entrées états, l'optimisation approchée par la méthodologie des perturbations singulières. En vue de la mise en oeuvre sur calculateur, l'attention est attirée sur les problèmes posés par la discrétisation des lois non linéaires et la commande numérique. On y trouvera également un certain nombre d'applications à des processus mécaniques et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