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Degoulange, François/ Lemaître, René/ Perrin,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204015213x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classe de seconde/ </w:t>
            </w:r>
          </w:p>
        </w:tc>
      </w:tr>
    </w:tbl>
    <w:p>
      <w:pPr>
        <w:pStyle w:val="Heading3"/>
      </w:pPr>
      <w:r>
        <w:t>Résumé :</w:t>
      </w:r>
    </w:p>
    <w:p>
      <w:r>
        <w:t>L'ouvrage présente les principaux éléments constitutifs d'un automatisme : capteurs, actionneurs, préactionneurs, relais, contacteurs et organes de commande. il initie les élèves aux notions de logique combinatoire et séquentielle ainsi qu'à la lecture et à la réalisation de schémas électriques de commande.</w:t>
        <w:br/>
        <w:br/>
        <w:t>une partie importante est consacrée au grafcet (graphe fonctionnel de commande étapes/transitions), langage graphique normalisé permettant de décrire le fonctionnement séquentiel des automatismes. les différentes étapes de conception d'un automatisme, depuis l'analyse fonctionnelle jusqu'à la réalisation des schémas de commande, sont illustrées par de nombreux exemples industriels.</w:t>
        <w:br/>
        <w:br/>
        <w:t>grâce à ses exercices, études de cas et schémas commentés, ce manuel constitue une excellente introduction aux automatismes industriels et prépare les élèves aux formations technologiques et professionnelles de niveau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