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précontraint. T2,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Picard, André/ </w:t>
            </w:r>
          </w:p>
        </w:tc>
      </w:tr>
      <w:tr>
        <w:trPr>
          <w:trHeight w:val="567"/>
        </w:trPr>
        <w:tc>
          <w:tcPr>
            <w:tcW w:type="dxa" w:w="3000"/>
          </w:tcPr>
          <w:p>
            <w:r>
              <w:t>Adresse bib.</w:t>
            </w:r>
          </w:p>
        </w:tc>
        <w:tc>
          <w:tcPr>
            <w:tcW w:type="dxa" w:w="7000"/>
          </w:tcPr>
          <w:p>
            <w:r>
              <w:t xml:space="preserve">Gaetan Morin/ </w:t>
            </w:r>
          </w:p>
        </w:tc>
      </w:tr>
      <w:tr>
        <w:trPr>
          <w:trHeight w:val="567"/>
        </w:trPr>
        <w:tc>
          <w:tcPr>
            <w:tcW w:type="dxa" w:w="3000"/>
          </w:tcPr>
          <w:p>
            <w:r>
              <w:t>Nombre de Pages</w:t>
            </w:r>
          </w:p>
        </w:tc>
        <w:tc>
          <w:tcPr>
            <w:tcW w:type="dxa" w:w="7000"/>
          </w:tcPr>
          <w:p>
            <w:r>
              <w:t>894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2891051386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précontraint/ ponts en beton precontraint/ fluage du béton/ </w:t>
            </w:r>
          </w:p>
        </w:tc>
      </w:tr>
    </w:tbl>
    <w:p>
      <w:pPr>
        <w:pStyle w:val="Heading3"/>
      </w:pPr>
      <w:r>
        <w:t>Résumé :</w:t>
      </w:r>
    </w:p>
    <w:p>
      <w:r>
        <w:t>Ce volume approfondit les méthodes d'analyse des structures en béton précontraint soumises à différents types de chargements. Il expose les bases théoriques permettant de comprendre le comportement des éléments précontraints tout au long de leur durée de vie, depuis la mise en tension jusqu'à leur exploitation.</w:t>
        <w:br/>
        <w:br/>
        <w:br/>
        <w:br/>
        <w:t>L'ouvrage traite notamment de la répartition des contraintes, des déformations, des pertes de précontrainte (immédiates et différées), des effets du fluage et du retrait du béton, ainsi que de l'influence de la relaxation des aciers de précontrainte. Il développe également l'analyse des poutres continues, des dalles, des cadres, des ponts et d'autres ouvrages complexes en béton précontraint.</w:t>
        <w:br/>
        <w:br/>
        <w:t>De nombreux développements mathématiques, exemples numériques et applications pratiques permettent au lecteur de maîtriser les méthodes de calcul nécessaires à la conception et à la vérification des ouvrages. Ce livre constitue une référence pour les ingénieurs de structures, les chercheurs, les enseignants et les étudiants spécialisés en génie civil et en béton précontraint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