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T4, machines tournantes à courants alternatifs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Cahen, François/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380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tournante/ électrotechnique,/ </w:t>
            </w:r>
          </w:p>
        </w:tc>
      </w:tr>
    </w:tbl>
    <w:p>
      <w:pPr>
        <w:pStyle w:val="Heading3"/>
      </w:pPr>
      <w:r>
        <w:t>Résumé :</w:t>
      </w:r>
    </w:p>
    <w:p>
      <w:r>
        <w:t>Ce quatrième tome de la série Électrotechnique présente les fondements des machines électriques tournantes alimentées en courant alternatif. L'auteur développe les lois de l'électromagnétisme appliquées aux machines, puis montre comment elles permettent de convertir l'énergie électrique en énergie mécanique et inversement.</w:t>
        <w:br/>
        <w:br/>
        <w:t>Une large partie est consacrée aux machines synchrones, notamment les alternateurs utilisés dans la production d'électricité. L'ouvrage explique leur principe de fonctionnement, les équations de fonctionnement, la réaction d'induit, les diagrammes de Fresnel, les performances ainsi que les méthodes de réglage de la tension.</w:t>
        <w:br/>
        <w:br/>
        <w:t>La seconde grande partie traite des machines asynchrones, qui constituent les moteurs les plus répandus dans l'industrie. Cahen détaille la création du champ tournant, le phénomène de glissement, la production du couple, les pertes, le rendement, les caractéristiques mécaniques ainsi que les méthodes d'essais permettant de déterminer les paramètres du moteur.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