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moteurs asynchrones.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Canudas-de-Wit, Carlos/ </w:t>
            </w:r>
          </w:p>
        </w:tc>
      </w:tr>
      <w:tr>
        <w:trPr>
          <w:trHeight w:val="567"/>
        </w:trPr>
        <w:tc>
          <w:tcPr>
            <w:tcW w:type="dxa" w:w="3000"/>
          </w:tcPr>
          <w:p>
            <w:r>
              <w:t>Adresse bib.</w:t>
            </w:r>
          </w:p>
        </w:tc>
        <w:tc>
          <w:tcPr>
            <w:tcW w:type="dxa" w:w="7000"/>
          </w:tcPr>
          <w:p>
            <w:r>
              <w:t xml:space="preserve">Hérmes science publications/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IC2. Systèmes automatisés(N°:None)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2746201119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asynchrones/ commande automatique/ </w:t>
            </w:r>
          </w:p>
        </w:tc>
      </w:tr>
    </w:tbl>
    <w:p>
      <w:pPr>
        <w:pStyle w:val="Heading3"/>
      </w:pPr>
      <w:r>
        <w:t>Résumé :</w:t>
      </w:r>
    </w:p>
    <w:p>
      <w:r>
        <w:t>Le traité Information, Commande, Communication répond au besoin de disposer d'un ensemble complet des connaissances et méthodes nécessaires à la maîtrise des systèmes technologiques. Conçu volontairement dans un esprit d'échange disciplinaire, le traité IC2 est l'état de l'art dans les domaines suivants retenus par le comité scientifique : Réseaux et télécoms Traitement du signal et de l'image Informatique et systèmes d'information Systèmes automatisés Productique Chaque ouvrage présente aussi bien les aspects fondamentaux qu'expérimentaux. Une classification des différents articles contenus dans chacun, une bibliographie et un index détaillé orientent le lecteur vers ses points d'intérêt immédiats : celui-ci dispose ainsi d'un guide pour ses réflexions ou pour ses choix. Les savoirs, théories et méthodes rassemblés dans chaque ouvrage ont été choisis pour leur pertinence dans l'avancée des connaissances ou pour la qualité des résultats obtenus dans le cas d'expérimentations réelles.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