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GRAFCET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Chevalier,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2040111700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automatisme industriel/ commande séquentielle/ </w:t>
            </w:r>
          </w:p>
        </w:tc>
      </w:tr>
    </w:tbl>
    <w:p>
      <w:pPr>
        <w:pStyle w:val="Heading3"/>
      </w:pPr>
      <w:r>
        <w:t>Résumé :</w:t>
      </w:r>
    </w:p>
    <w:p>
      <w:r>
        <w:t>L'ouvrage présente les principes fondamentaux de la conception des automatismes séquentiels à partir du GRAFCET. il explique comment analyser le fonctionnement d'une machine ou d'un procédé, décomposer les cycles de fonctionnement en étapes et transitions, puis élaborer un diagramme fonctionnel traduisant précisément les séquences de commande.</w:t>
        <w:br/>
        <w:br/>
        <w:t>une part importante est consacrée à la technologie modulaire, qui consiste à construire des systèmes automatisés à partir de modules fonctionnels réutilisables. cette approche facilite la conception, la maintenance et l'évolution des installations industrielles. le livre montre également comment passer du GRAFCET à la réalisation pratique à l'aide de relais, de logique câblée ou d'automates programmables industriels (API).</w:t>
        <w:br/>
        <w:br/>
        <w:t>illustré par de nombreux exemples d'applications industrielles, l'ouvrage constitue un guide pratique pour la conception, la programmation et l'exploitation des systèmes automatisés dans les domaines de la production industrielle, de la manutention et des machines automatiques.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