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Commande vectorielle sans capteur des machines asynchrones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Chaigne, Claude/ Etien, Erik/ Cauët, Sebastien/ Rambault, Laurent/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dirigée par Jean-Claude Sabonnadière(N°:None)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2746211483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commande vectorielle/ machine asynchrone/ </w:t>
            </w:r>
          </w:p>
        </w:tc>
      </w:tr>
    </w:tbl>
    <w:p>
      <w:pPr>
        <w:pStyle w:val="Heading3"/>
      </w:pPr>
      <w:r>
        <w:t>Résumé :</w:t>
      </w:r>
    </w:p>
    <w:p>
      <w:r>
        <w:t>La commande vectorielle d'une machine asynchrone est une technique désormais arrivée à maturité. cependant, les variateurs de vitesse industriels intègrent de nouvelles contraintes comme l'asservissement de vitesse sans codeur incrémental.</w:t>
        <w:br/>
        <w:br/>
        <w:t>il est alors nécessaire d'avoir recours à des techniques d'observation au sens de l'automatique pour estimer la vitesse à partir des informations recueillies par la mesure des courants statoriques. ainsi, on s'aperçoit que les disciplines de l'automatique et de l'électrotechnique se mêlent étroitement pour répondre à des exigences de plus en plus élevées.</w:t>
        <w:br/>
        <w:br/>
        <w:t>l'ouvrage est présenté sous forme d'exercices dont les solutions sont souvent très détaillées. il s'adresse principalement à des élèves ingénieurs de la spécialité ou à des doctorants qui abordent le thème de la commande des machines.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