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formal grammars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Gross, Mike/ Lentin, André/ Salkoff, M./ Chomsky, Noam/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programming free language/ </w:t>
            </w:r>
          </w:p>
        </w:tc>
      </w:tr>
    </w:tbl>
    <w:p>
      <w:pPr>
        <w:pStyle w:val="Heading3"/>
      </w:pPr>
      <w:r>
        <w:t>Résumé :</w:t>
      </w:r>
    </w:p>
    <w:p>
      <w:r>
        <w:t>The present work originates in a course given by the authors during the last few years in various university departments and institutions, among which we should like to mention: the Centre de Linguistique Quantitative of the Faculté des Sciences de Paris, created at the instance of the late Professor Favard; the Chaire d'Analyse Numérique of the Faculté des Sciences de Paris (Professor René de Possel), curriculum of Troisième Cycle; the Chaire de Physique Mathématique of the University of Toulouse (Professor M. Laudet), for the degree Diplôme d'Etudes Approfondies in the section "Traitement de l'Information"; the department of linguistics of the University of Pennsylvania¹ (Professor Z. S. Harris); the Institut de Programmation of the Faculté des Sciences de Paris for the courses in the troisième niveau.</w:t>
        <w:br/>
        <w:br/>
        <w:br/>
        <w:br/>
        <w:t>Written for purely didactic purposes, this Introduction to Formal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