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calcul des éléments de circuits passifs en hyperfréquences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Baudrand, Henri/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Polytech Toulouse(N°:None)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2854285379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matrice d'impédance/ impédance caractéristique/ </w:t>
            </w:r>
          </w:p>
        </w:tc>
      </w:tr>
    </w:tbl>
    <w:p>
      <w:pPr>
        <w:pStyle w:val="Heading3"/>
      </w:pPr>
      <w:r>
        <w:t>Résumé :</w:t>
      </w:r>
    </w:p>
    <w:p>
      <w:r>
        <w:t>L'ouvrage explique les phénomènes de propagation des ondes électromagnétiques, les caractéristiques des lignes de transmission et les méthodes de calcul des résistances, inductances, capacités et résonateurs en tenant compte des effets distribués. Il développe également les paramètres de diffusion (S), essentiels à l'analyse des réseaux hyperfréquences, ainsi que les techniques d'adaptation d'impédance et de conception des filtres, coupleurs et diviseurs de puissance. Enfin, il aborde les technologies de réalisation (microbandes, guides d'ondes, lignes coplanaires) et l'utilisation des logiciels de simulation pour la conception des circuits destinés aux télécommunications, aux radars et aux systèmes de radiofréquences.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