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Immunopathologie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Servettaz, Amélie/ Lelièvre, Jean-Daniel/ Sibilia, Jean/ Collège des enseignants d'immunologie/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Masson, Dunod/ </w:t>
            </w:r>
          </w:p>
        </w:tc>
      </w:tr>
      <w:tr>
        <w:trPr>
          <w:trHeight w:val="567"/>
        </w:trPr>
        <w:tc>
          <w:tcPr>
            <w:tcW w:type="dxa" w:w="3000"/>
          </w:tcPr>
          <w:p>
            <w:r>
              <w:t>Nombre de Pages</w:t>
            </w:r>
          </w:p>
        </w:tc>
        <w:tc>
          <w:tcPr>
            <w:tcW w:type="dxa" w:w="7000"/>
          </w:tcPr>
          <w:p>
            <w:r>
              <w:t>378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Les référentiels des collèges(N°:None)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9782294756481</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immunologie/ internat et résidence/ </w:t>
            </w:r>
          </w:p>
        </w:tc>
      </w:tr>
    </w:tbl>
    <w:p>
      <w:pPr>
        <w:pStyle w:val="Heading3"/>
      </w:pPr>
      <w:r>
        <w:t>Résumé :</w:t>
      </w:r>
    </w:p>
    <w:p>
      <w:r>
        <w:t>En parfaite conformité avec le programme de DFASM et les ECNi cet ouvrage rassemble les connaissances fondamentales en immunopathologie. Il présente dans le détail la vingtaine d'items du programme relevant de cette spécialité avec des objectifs pédagogiques clairement définis et comporte deux parties : une partie Connaissances divisée en 24 chapitres commençant systématiquement par un rappel des objectifs pédagogiques puis développant la thématique étayée de points clés de notions à retenir de tableaux et de figures ; une partie Pratique qui propose 12 dossiers progressifs et 46 questions isolées (QRU/QRM) corrigés et commentés offrant un outil performant d'auto-évaluation.Cette 2e édition propose une mise à jour complète des contenus et des données. Elle s'est enrichie d'un encart Réflexe transversalité en début de chapitre et d'une rubrique Notions indispensables en fin de chapitre.Accédez à la banque d'images de cet ouvrage : l'ensemble des illustrations y sont regroupées et accessibles facilement via un moteur de recherche. Et retrouvez d'autres fonctionnalités.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