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of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Bhattacharya, S.K./ Singh, Brijinder/ </w:t>
            </w:r>
          </w:p>
        </w:tc>
      </w:tr>
      <w:tr>
        <w:trPr>
          <w:trHeight w:val="567"/>
        </w:trPr>
        <w:tc>
          <w:tcPr>
            <w:tcW w:type="dxa" w:w="3000"/>
          </w:tcPr>
          <w:p>
            <w:r>
              <w:t>Adresse bib.</w:t>
            </w:r>
          </w:p>
        </w:tc>
        <w:tc>
          <w:tcPr>
            <w:tcW w:type="dxa" w:w="7000"/>
          </w:tcPr>
          <w:p>
            <w:r>
              <w:t xml:space="preserve">New Age International Pvt Ltd Publishers/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812241818x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Control/ industrial control/ </w:t>
            </w:r>
          </w:p>
        </w:tc>
      </w:tr>
    </w:tbl>
    <w:p>
      <w:pPr>
        <w:pStyle w:val="Heading3"/>
      </w:pPr>
      <w:r>
        <w:t>Résumé :</w:t>
      </w:r>
    </w:p>
    <w:p>
      <w:r>
        <w:t>Control of Machines provides a comprehensive introduction to the principles and applications of industrial motor control systems. The book explains the design and operation of electrical control circuits used for AC and DC machines, emphasizing motor starting methods, protection techniques, and industrial automation practices.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