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et utilisation du microcontrôleur SAB-C167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Bellenger, Remy/ Leteinturier, Patrick/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2225851557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SAB-C167/ système embarqué/ </w:t>
            </w:r>
          </w:p>
        </w:tc>
      </w:tr>
    </w:tbl>
    <w:p>
      <w:pPr>
        <w:pStyle w:val="Heading3"/>
      </w:pPr>
      <w:r>
        <w:t>Résumé :</w:t>
      </w:r>
    </w:p>
    <w:p>
      <w:r>
        <w:t>Les systèmes embarqués sont de plus en plus nombreux et complexes. ces systèmes de commande nécessitent donc une plus grande puissance de calcul, un nombre réduit de composants et une consommation moindre. la quatrième génération dont fait partie le sabc 167 a été concue en tenant compte de ces contraintes. l'intégration de périphériques internes souple d'emploi et aux configurations multiples répond à ces besoins. cet ouvrage a été rédigé pour répondre aux attentes des concepteurs et développeurs d'applications utilisant ce microcontrôleur. l'auteur part d'une description générale pour atteindre les détails : architecture du système, programmation, liens série, "captures compares", unités de timer, fonctions spécialisées, codage d'une application, montages typiques. le propos fait un véritable tour d'horizon de cette famille de composants et des applications dans les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