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Potentialités trophiques (Insectes) des milieux forestiers  sempervirents du Parc National d’El Kala, nord-est algérien,  pour les passereaux migrateurs hivernants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KACHABIA, El Khansa/ BELABED, Adnene/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parc national d'el kala/ passereaux hivernants/ subéraies sempervirentes/ </w:t>
            </w:r>
          </w:p>
        </w:tc>
      </w:tr>
    </w:tbl>
    <w:p>
      <w:pPr>
        <w:pStyle w:val="Heading3"/>
      </w:pPr>
      <w:r>
        <w:t>Résumé :</w:t>
      </w:r>
    </w:p>
    <w:p>
      <w:r>
        <w:t>Cette étude, conduite de novembre 2021 à mars 2022 dans le Parc National d'El Kala (nord- est de l'Algérie), analyse les relations entre la disponibilité des ressources trophiques entomologiques et la distribution des passereaux migrateurs hivernants au sein de cinq formations végétales issues de la dégradation des subéraies à chêne-liège : subéraie avec sous-bois, subéraie sans sous-bois, maquis arboré, maquis moyen et pelouse d'altitude.</w:t>
        <w:br/>
        <w:br/>
        <w:t>L'inventaire avifaunistique, réalisé par Échantillonnage Ponctuel Simple (EPS), a permis de recenser douze espèces de passereaux hivernants ou de passage. Les effectifs et la richesse spécifique les plus élevés sont enregistrés dans les formations les plus structurées — subéraie avec sous-bois et maquis arboré —, tandis que la subéraie sans sous-bois demeure constamment la moins attractive. Sur le plan entomologique, 1 597 individus ont été collectés, répartis en 7 ordres et 36 familles, avec une nette dominance des Coléoptères. Les formations boisées complexes concentrent l'essentiel de la richesse et de l'abondance entomologique, contrairement aux milieux ouverts et à la subéraie sans sous-bois, significativement appauvris.</w:t>
        <w:br/>
        <w:br/>
        <w:t>La mise en parallèle des deux composantes révèle une convergence remarquable : la</w:t>
        <w:br/>
        <w:br/>
        <w:t>complexité structurale de la végétation, en particulier la densité du sous-bois, constitue le principal déterminant commun de la diversité entomologique et de la richesse aviaire</w:t>
        <w:br/>
        <w:br/>
        <w:t>hivernante. Ces résultats soulignent l'urgence d'une gestion conservatoire intégrée,</w:t>
        <w:br/>
        <w:br/>
        <w:t>préservant l'ensemble des strates végétales comme condition fondamentale du maintien de la biodiversité hivernale dans les écosystèmes forestiers méditerranéens.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