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Pilly étudiant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des universitaires de maladies infectieuses et tropicales (France)/ </w:t>
            </w:r>
          </w:p>
        </w:tc>
      </w:tr>
      <w:tr>
        <w:trPr>
          <w:trHeight w:val="567"/>
        </w:trPr>
        <w:tc>
          <w:tcPr>
            <w:tcW w:type="dxa" w:w="3000"/>
          </w:tcPr>
          <w:p>
            <w:r>
              <w:t>Edition</w:t>
            </w:r>
          </w:p>
        </w:tc>
        <w:tc>
          <w:tcPr>
            <w:tcW w:type="dxa" w:w="7000"/>
          </w:tcPr>
          <w:p>
            <w:r>
              <w:t>1re ed.</w:t>
            </w:r>
          </w:p>
        </w:tc>
      </w:tr>
      <w:tr>
        <w:trPr>
          <w:trHeight w:val="567"/>
        </w:trPr>
        <w:tc>
          <w:tcPr>
            <w:tcW w:type="dxa" w:w="3000"/>
          </w:tcPr>
          <w:p>
            <w:r>
              <w:t>Adresse bib.</w:t>
            </w:r>
          </w:p>
        </w:tc>
        <w:tc>
          <w:tcPr>
            <w:tcW w:type="dxa" w:w="7000"/>
          </w:tcPr>
          <w:p>
            <w:r>
              <w:t xml:space="preserve">Éditions Alinéa plus/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9782916641706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Maladies infectieuses/ maladies tropicales/ </w:t>
            </w:r>
          </w:p>
        </w:tc>
      </w:tr>
    </w:tbl>
    <w:p>
      <w:pPr>
        <w:pStyle w:val="Heading3"/>
      </w:pPr>
      <w:r>
        <w:t>Résumé :</w:t>
      </w:r>
    </w:p>
    <w:p>
      <w:r>
        <w:t>Le PILLY Etudiant (1ère édition 2021) est l'ouvrage de référence du Collège des universitaires de Maladies Infectieuses et Tropicales (CMIT), pour la préparation des étudiants en médecine à l'examen national en lien avec la réforme du 2ème cycle (R2C). Tous les items d'infectiologie du nouveau programme officiel, avec les connaissances de rang A (exigibles pour tout médecin) et de rang B (connaissances plus approfondies exigibles à un interne de 1er semestre et pondérées différemment selon la spécialité souhaitée) y sont traités. En introduction de chaque item, un tableau des connaissances exigibles avec leur rang (A ou B) est rappelé. Un balisage avec code couleur selon le rang, des tableaux, figures et iconographies didactiques facilitent le travail de l'étudiant dans l'acquisition et la mémorisation des connaissances nécessaires (A±B) à la compréhension et la prise en charge des principales maladies infectieuses. Ce gros travail de mise en forme a aussi pour objectif d'apporter de la convivialité à l'ouvrage. (4e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