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 moutons et des robots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Arnaud, Pierre/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186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Collection Meta(N°:None)</w:t>
            </w:r>
          </w:p>
        </w:tc>
      </w:tr>
      <w:tr>
        <w:trPr>
          <w:trHeight w:val="567"/>
        </w:trPr>
        <w:tc>
          <w:tcPr>
            <w:tcW w:type="dxa" w:w="3000"/>
          </w:tcPr>
          <w:p>
            <w:r>
              <w:t>Notes Générales</w:t>
            </w:r>
          </w:p>
        </w:tc>
        <w:tc>
          <w:tcPr>
            <w:tcW w:type="dxa" w:w="7000"/>
          </w:tcPr>
          <w:p>
            <w:r>
              <w:t>Bibliogr. p.p. 164-186</w:t>
            </w:r>
          </w:p>
        </w:tc>
      </w:tr>
      <w:tr>
        <w:trPr>
          <w:trHeight w:val="567"/>
        </w:trPr>
        <w:tc>
          <w:tcPr>
            <w:tcW w:type="dxa" w:w="3000"/>
          </w:tcPr>
          <w:p>
            <w:r>
              <w:t>Numéro d'Identification</w:t>
            </w:r>
          </w:p>
        </w:tc>
        <w:tc>
          <w:tcPr>
            <w:tcW w:type="dxa" w:w="7000"/>
          </w:tcPr>
          <w:p>
            <w:r>
              <w:t>288074458x</w:t>
            </w:r>
          </w:p>
        </w:tc>
      </w:tr>
      <w:tr>
        <w:trPr>
          <w:trHeight w:val="567"/>
        </w:trPr>
        <w:tc>
          <w:tcPr>
            <w:tcW w:type="dxa" w:w="3000"/>
          </w:tcPr>
          <w:p>
            <w:r>
              <w:t>Thème</w:t>
            </w:r>
          </w:p>
        </w:tc>
        <w:tc>
          <w:tcPr>
            <w:tcW w:type="dxa" w:w="7000"/>
          </w:tcPr>
          <w:p>
            <w:r>
              <w:t>robotique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robotique mobile/ intelligence artificielle/ </w:t>
            </w:r>
          </w:p>
        </w:tc>
      </w:tr>
    </w:tbl>
    <w:p>
      <w:pPr>
        <w:pStyle w:val="Heading3"/>
      </w:pPr>
      <w:r>
        <w:t>Résumé :</w:t>
      </w:r>
    </w:p>
    <w:p>
      <w:r>
        <w:t>Sous ce titre insolite, l'auteur propose une nouvelle architecture de contrôle réactive destinée à la robotique mobile.</w:t>
        <w:br/>
        <w:br/>
        <w:t>comme toutes les autres architectures utilisées dans le domaine de la robotique collective (subsomption, sélection d'actions, schémas), l'architecture à fusion d'actions généralisée s'inspire du monde animal. son originalité consiste dans le fait qu'elle propose un modèle unifié à la fois simple et puissant.</w:t>
        <w:br/>
        <w:br/>
        <w:t>l'informaticien, le roboticien et même le simple amateur de technique seront intéressés par cet ouvrage qui, en plus d'exposer des développements purement théoriques, retrace l'évolution de notions fondamentales comme celle d'intelligence (humaine, animale et artificielle), présente le contexte historique dans lequel s'insère la robotique collective et la nouvelle intelligence artificielle adaptative, et s'intéresse aux problèmes pratiques de navigation et de localisation ainsi qu'à leurs implications techniques.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