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radiomobiles reconfigurables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Vivier, Guillaume/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9782746211278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de communication sans fil/ système adaptatif/ </w:t>
            </w:r>
          </w:p>
        </w:tc>
      </w:tr>
    </w:tbl>
    <w:p>
      <w:pPr>
        <w:pStyle w:val="Heading3"/>
      </w:pPr>
      <w:r>
        <w:t>Résumé :</w:t>
      </w:r>
    </w:p>
    <w:p>
      <w:r>
        <w:t>Il y a de plus en plus de systèmes de communication mobile. Qu'ils soient issus du monde de la téléphonie mobile (GSM, GPRS, UMTS) ou des réseaux sans fil (Wifi Wimax), les normes se multiplient pour des services qui finalement se recoupent : communications mobiles de données ou de voix. Ainsi, les terminaux, voire les équipements de réseaux deviennent multi-modes et reconfigurables (typiquement cellulaire/WLAN) pour offrir à la technologie la plus adaptée. Cet ouvrage fait le point sur la reconfigurabilité des systèmes radio-mobiles. Différents aspects sont abordés : services, modélisation objet appliqué à la radio logicielle, gestion flexible de spectre, compromis pour la réalisation pratique de terminaux reconfigurables, traitement du signal intégrant la reconfigurabilité. Des exemples de réalisation de modem reconfigurables sont aussi donnés, qu'ils soient fondés sur une approche logicielle ou matérielle. Le traité aborde quelques technologies clés réaliser un système radio-mobile reconfigurable telles que les convertisseurs analogique-numérique.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