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régulation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Prouvost, Patrick/ </w:t>
            </w:r>
          </w:p>
        </w:tc>
      </w:tr>
      <w:tr>
        <w:trPr>
          <w:trHeight w:val="567"/>
        </w:trPr>
        <w:tc>
          <w:tcPr>
            <w:tcW w:type="dxa" w:w="3000"/>
          </w:tcPr>
          <w:p>
            <w:r>
              <w:t>Adresse bib.</w:t>
            </w:r>
          </w:p>
        </w:tc>
        <w:tc>
          <w:tcPr>
            <w:tcW w:type="dxa" w:w="7000"/>
          </w:tcPr>
          <w:p>
            <w:r>
              <w:t xml:space="preserve">Nathan technique/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2091774871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application industrielle/ mécatronique/ </w:t>
            </w:r>
          </w:p>
        </w:tc>
      </w:tr>
    </w:tbl>
    <w:p>
      <w:pPr>
        <w:pStyle w:val="Heading3"/>
      </w:pPr>
      <w:r>
        <w:t>Résumé :</w:t>
      </w:r>
    </w:p>
    <w:p>
      <w:r>
        <w:t>Cet ouvrage  aborde les concepts fondamentaux du contrôle et de la régulation dans les systèmes dynamiques. Le livre est conçu pour accompagner les étudiants et les professionnels dans leur compréhension des principes de la théorie du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