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matériaux inorganiques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Durupthy, André/ Estienne, Jacques/ Jaubert, Alain/ </w:t>
            </w:r>
          </w:p>
        </w:tc>
      </w:tr>
      <w:tr>
        <w:trPr>
          <w:trHeight w:val="567"/>
        </w:trPr>
        <w:tc>
          <w:tcPr>
            <w:tcW w:type="dxa" w:w="3000"/>
          </w:tcPr>
          <w:p>
            <w:r>
              <w:t>Adresse bib.</w:t>
            </w:r>
          </w:p>
        </w:tc>
        <w:tc>
          <w:tcPr>
            <w:tcW w:type="dxa" w:w="7000"/>
          </w:tcPr>
          <w:p>
            <w:r>
              <w:t xml:space="preserve">Hachette Supérieur/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H Prépa. Exercices et problèmes corrigés(N°:12)</w:t>
            </w:r>
          </w:p>
        </w:tc>
      </w:tr>
      <w:tr>
        <w:trPr>
          <w:trHeight w:val="567"/>
        </w:trPr>
        <w:tc>
          <w:tcPr>
            <w:tcW w:type="dxa" w:w="3000"/>
          </w:tcPr>
          <w:p>
            <w:r>
              <w:t>Numéro d'Identification</w:t>
            </w:r>
          </w:p>
        </w:tc>
        <w:tc>
          <w:tcPr>
            <w:tcW w:type="dxa" w:w="7000"/>
          </w:tcPr>
          <w:p>
            <w:r>
              <w:t>2011452556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bioinorganique/ énergie réticulaire/ </w:t>
            </w:r>
          </w:p>
        </w:tc>
      </w:tr>
    </w:tbl>
    <w:p>
      <w:pPr>
        <w:pStyle w:val="Heading3"/>
      </w:pPr>
      <w:r>
        <w:t>Résumé :</w:t>
      </w:r>
    </w:p>
    <w:p>
      <w:r>
        <w:t>Cet ouvrage nécessaire aux élèves des classes préparatoires, dans leurs révisions et leur préparation aux concours des Grandes Écoles. Après un bref rappel de cours, le futur candidat peut s'exercer avec des exercices progressifs. Chaque énoncé est suivi d'un point de départ qui permet de démarrer sans avoir recours à la 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