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to bond graphs and their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Thoma, Jean U./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179-181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0080188826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power flow/ </w:t>
            </w:r>
          </w:p>
        </w:tc>
      </w:tr>
    </w:tbl>
    <w:p>
      <w:pPr>
        <w:pStyle w:val="Heading3"/>
      </w:pPr>
      <w:r>
        <w:t>Résumé :</w:t>
      </w:r>
    </w:p>
    <w:p>
      <w:r>
        <w:t>The book explains the fundamental elements of bond graphs, causality assignment, state-space formulation, and simulation techniques. It also demonstrates practical applications in mechatronics, control engineering, robotics, automotive systems, and multidisciplinary system design.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